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D251B">
        <w:rPr>
          <w:rFonts w:ascii="Times New Roman" w:hAnsi="Times New Roman" w:cs="Times New Roman"/>
          <w:bCs/>
          <w:sz w:val="24"/>
          <w:szCs w:val="24"/>
        </w:rPr>
        <w:t>25</w:t>
      </w:r>
      <w:r w:rsidR="00081999">
        <w:rPr>
          <w:rFonts w:ascii="Times New Roman" w:hAnsi="Times New Roman" w:cs="Times New Roman"/>
          <w:bCs/>
          <w:sz w:val="24"/>
          <w:szCs w:val="24"/>
        </w:rPr>
        <w:t>.10</w:t>
      </w:r>
      <w:r w:rsidR="00662958">
        <w:rPr>
          <w:rFonts w:ascii="Times New Roman" w:hAnsi="Times New Roman" w:cs="Times New Roman"/>
          <w:bCs/>
          <w:sz w:val="24"/>
          <w:szCs w:val="24"/>
        </w:rPr>
        <w:t>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CD251B">
        <w:rPr>
          <w:rFonts w:ascii="Times New Roman" w:hAnsi="Times New Roman" w:cs="Times New Roman"/>
          <w:bCs/>
          <w:sz w:val="24"/>
          <w:szCs w:val="24"/>
        </w:rPr>
        <w:t>88/1</w:t>
      </w:r>
    </w:p>
    <w:p w:rsidR="00251759" w:rsidRPr="00251759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51B5" w:rsidRPr="009351B5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351B5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постановления</w:t>
      </w:r>
    </w:p>
    <w:p w:rsidR="009351B5" w:rsidRPr="009351B5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9351B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9351B5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9351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351B5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</w:p>
    <w:p w:rsidR="00D94941" w:rsidRPr="00D9494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9351B5">
        <w:rPr>
          <w:rFonts w:ascii="Times New Roman" w:hAnsi="Times New Roman" w:cs="Times New Roman"/>
          <w:b/>
          <w:sz w:val="24"/>
          <w:szCs w:val="24"/>
        </w:rPr>
        <w:t>муниципального района  Волгоградской области</w:t>
      </w: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726E13">
        <w:rPr>
          <w:rFonts w:ascii="Times New Roman" w:hAnsi="Times New Roman" w:cs="Times New Roman"/>
          <w:sz w:val="24"/>
          <w:szCs w:val="24"/>
        </w:rPr>
        <w:t xml:space="preserve"> г.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94941" w:rsidRPr="00372930" w:rsidRDefault="00D94941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се</w:t>
      </w:r>
      <w:r w:rsidR="00DC13B3">
        <w:rPr>
          <w:rFonts w:ascii="Times New Roman" w:hAnsi="Times New Roman"/>
          <w:bCs/>
          <w:sz w:val="24"/>
          <w:szCs w:val="24"/>
        </w:rPr>
        <w:t xml:space="preserve">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DC13B3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DC13B3">
        <w:rPr>
          <w:rFonts w:ascii="Times New Roman" w:hAnsi="Times New Roman"/>
          <w:sz w:val="24"/>
          <w:szCs w:val="24"/>
        </w:rPr>
        <w:t xml:space="preserve"> 05.08.2016 года № 6</w:t>
      </w:r>
      <w:r w:rsidR="00372930">
        <w:rPr>
          <w:rFonts w:ascii="Times New Roman" w:hAnsi="Times New Roman"/>
          <w:sz w:val="24"/>
          <w:szCs w:val="24"/>
        </w:rPr>
        <w:t xml:space="preserve">4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</w:t>
      </w:r>
      <w:r w:rsidR="00DC13B3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 xml:space="preserve">изменение, изложив пункт 2 </w:t>
      </w:r>
      <w:proofErr w:type="gramStart"/>
      <w:r w:rsidR="00873E58">
        <w:rPr>
          <w:rFonts w:ascii="Times New Roman" w:hAnsi="Times New Roman"/>
          <w:sz w:val="24"/>
          <w:szCs w:val="24"/>
        </w:rPr>
        <w:t>в</w:t>
      </w:r>
      <w:proofErr w:type="gramEnd"/>
      <w:r w:rsidR="00873E58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251759" w:rsidRDefault="00251759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59">
        <w:rPr>
          <w:rFonts w:ascii="Times New Roman" w:hAnsi="Times New Roman" w:cs="Times New Roman"/>
          <w:sz w:val="24"/>
          <w:szCs w:val="24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25175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51759" w:rsidRDefault="00251759" w:rsidP="0025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от 04.09.2018 года  №  74 «</w:t>
      </w:r>
      <w:r w:rsidRPr="0025175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05.08.2016  № 64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25175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2517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175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2517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8607CB" w:rsidRDefault="00251759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0E1EE4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DC13B3">
        <w:rPr>
          <w:rFonts w:ascii="Times New Roman" w:hAnsi="Times New Roman"/>
          <w:sz w:val="24"/>
          <w:szCs w:val="24"/>
        </w:rPr>
        <w:t xml:space="preserve">                                                      С.Г. Кудрин</w:t>
      </w:r>
    </w:p>
    <w:p w:rsidR="00E16CA0" w:rsidRDefault="00E16CA0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 К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согласования проекта соглашения между Волгоградской областью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Перекопским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поселением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Клетский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535" w:rsidTr="00D97535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97535" w:rsidTr="00D97535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535" w:rsidRDefault="00D97535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D97535" w:rsidRDefault="00D97535" w:rsidP="00D97535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361"/>
        <w:gridCol w:w="1574"/>
        <w:gridCol w:w="1838"/>
        <w:gridCol w:w="1181"/>
      </w:tblGrid>
      <w:tr w:rsidR="00D97535" w:rsidTr="00D97535">
        <w:trPr>
          <w:trHeight w:val="110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 Соглашения</w:t>
            </w:r>
          </w:p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7535" w:rsidTr="00D97535">
        <w:trPr>
          <w:trHeight w:val="1664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 Волгоградской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146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_____________ сельского (городского поселения) ___________муниципального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978"/>
        <w:gridCol w:w="8057"/>
      </w:tblGrid>
      <w:tr w:rsidR="00D97535" w:rsidTr="00D97535">
        <w:trPr>
          <w:trHeight w:val="810"/>
        </w:trPr>
        <w:tc>
          <w:tcPr>
            <w:tcW w:w="1978" w:type="dxa"/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056" w:type="dxa"/>
            <w:hideMark/>
          </w:tcPr>
          <w:p w:rsidR="00D97535" w:rsidRDefault="00D97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</w:tc>
      </w:tr>
    </w:tbl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                           ________________                  Миронова Л.А.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(инициалы, фамилия)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 передаче полномочий на определение поставщиков (подрядчиков, исполнителей) для обеспечения муниципальных нужд Волгоградской области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«11» октября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г. Волгоград</w:t>
      </w:r>
    </w:p>
    <w:p w:rsidR="00D97535" w:rsidRDefault="00D97535" w:rsidP="00D9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Волгоградская область, в лице председателя комитета по регулированию контрактной системы в сфере закупок Волгоградской области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Чупахиной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Анны Дмитриевны, действующего на основании доверенности от 11 апреля 2016 года № 51, с одной стороны,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в лице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Кудрина Сергея Григорьевича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с другой стороны, именуемые в дальнейшем Стороны, руководствуясь Федеральным законом от 06 октября  2003 г.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b"/>
            <w:rFonts w:ascii="Times New Roman" w:eastAsia="Times New Roman" w:hAnsi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05 апреля 2013 г. 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целях централизации, повышения эффективности, результативности осуществления закупок товаров, работ, услуг для нужд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заключили настоящее Соглашение о нижеследующем: </w:t>
      </w:r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Соглашения</w:t>
      </w:r>
    </w:p>
    <w:p w:rsidR="00D97535" w:rsidRDefault="00D97535" w:rsidP="00D9753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настоящего Соглашения является передача комитету по регулированию контрактной системы в сфере закупок Волгоградской области (далее по тексту – Уполномоченный орган), государственному казенному учреждению Волгоградской области «Центр организации закупок» (далее по тексту – Уполномоченное учреждение) полномочий уполномоченного органа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определение поставщиков (подрядчиков, исполнителей) для следующих заказчиков (далее – Заказчики):</w:t>
      </w:r>
      <w:proofErr w:type="gramEnd"/>
    </w:p>
    <w:p w:rsidR="00D97535" w:rsidRDefault="00D97535" w:rsidP="00D9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заказчиков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D97535" w:rsidRDefault="00D97535" w:rsidP="00D9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бюджетных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№ 44-ФЗ;</w:t>
      </w:r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унитарных предприятий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 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Уполномоченный орган осуществляет полномочия, предусмотренные п.1.1. настоящего Соглашения, по закупкам товаров, работ, услуг для Заказчиков на сумму 100 млн. рублей и более путем проведения открытых конкурсов, конкурсов с ограниченным участием, аукционов в электронной форме и запросов предложений.</w:t>
      </w:r>
    </w:p>
    <w:p w:rsidR="00D97535" w:rsidRDefault="00D97535" w:rsidP="00D9753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Уполномоченное учреждение осуществляет полномочия, предусмотренные п. 1.1. настоящего Соглашения для Заказчиков, путем проведения открытых конкурсов в электронной форме, конкурсов с ограниченным участием в электронной форме, аукционов в электронной форме и запросов предложений в электронной форме:</w:t>
      </w:r>
    </w:p>
    <w:p w:rsidR="00D97535" w:rsidRDefault="00D97535" w:rsidP="00D97535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закупкам товаров, работ, услуг на сумму от 1 млн. рублей до 100 млн. рублей, за исключением закупок предусмотренных п.п.2 настоящего пункта Соглашения;</w:t>
      </w:r>
    </w:p>
    <w:p w:rsidR="00D97535" w:rsidRDefault="00D97535" w:rsidP="00D9753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закупкам автотранспортных средств на сумму до 100 млн. рублей. 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взаимодействия </w:t>
      </w:r>
    </w:p>
    <w:p w:rsidR="00D97535" w:rsidRDefault="00D97535" w:rsidP="00D97535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535" w:rsidRDefault="00D97535" w:rsidP="00D9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Заказчиков и Уполномоченного органа осуществляется в соответствии с постановлением Администрации Волгоградской области от 29 января 2015 г.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области».</w:t>
      </w:r>
      <w:proofErr w:type="gramEnd"/>
    </w:p>
    <w:p w:rsidR="00D97535" w:rsidRDefault="00D97535" w:rsidP="00D9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Взаимодействие Заказчиков и Уполномоченного учреждения осуществляется в соответствии с постановлением Администрации Волгоградской области от 10 февраля 2015 г. № 71-п «Об отдельных мерах по централизации закупок товаров, работ, услуг в Волгоградской области».</w:t>
      </w:r>
    </w:p>
    <w:p w:rsidR="00D97535" w:rsidRDefault="00D97535" w:rsidP="00D97535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97535" w:rsidRDefault="00D97535" w:rsidP="00D9753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Срок действия Соглашения</w:t>
      </w:r>
    </w:p>
    <w:p w:rsidR="00D97535" w:rsidRDefault="00D97535" w:rsidP="00D97535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97535" w:rsidRDefault="00D97535" w:rsidP="00D9753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bookmarkStart w:id="1" w:name="sub_9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 Соглашение вступает в силу с 01 января 2019 года и действует бессрочно.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3.2. Стороны имеют право в любое время в одностороннем порядке расторгнуть настоящее Соглашение, предупредив об этом другую Сторону за 30 дней до предполагаемой даты расторжения.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рассмотрения споров и обжалований</w:t>
      </w:r>
    </w:p>
    <w:p w:rsidR="00D97535" w:rsidRDefault="00D97535" w:rsidP="00D9753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Разногласия и споры, возникающие в связи с реализацией Соглашения, решаются Сторонами путем взаимных консультаций и переговоров.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 Неурегулированные Сторонами споры передаются на рассмотрение в Арбитражный суд Волгоградской области.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97535" w:rsidRDefault="00D97535" w:rsidP="00D975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 Соглашение составлено в двух экземплярах, имеющих одинаковую юридическую силу, по одному для каждой из Сторон.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 Все изменения и дополнения к Соглашению вносятся по взаимному согласию Сторон, оформляются в письменном виде и являются неотъемлемой частью Соглашения.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Во всем, что не предусмотрено Соглашением, Стороны руководствуются действующим законодательством Российской Федерации. 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Подписи Сторон: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7535" w:rsidTr="00D97535">
        <w:tc>
          <w:tcPr>
            <w:tcW w:w="4785" w:type="dxa"/>
          </w:tcPr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Волгоградская область                                           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регулированию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контрактной</w:t>
            </w:r>
            <w:proofErr w:type="gramEnd"/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 сфере закупок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С.Г. Кудрин</w:t>
            </w:r>
          </w:p>
          <w:p w:rsidR="00D97535" w:rsidRDefault="00D9753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35" w:rsidRDefault="00D97535" w:rsidP="00D97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7535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4E" w:rsidRDefault="007C0B4E" w:rsidP="006256DA">
      <w:pPr>
        <w:spacing w:after="0" w:line="240" w:lineRule="auto"/>
      </w:pPr>
      <w:r>
        <w:separator/>
      </w:r>
    </w:p>
  </w:endnote>
  <w:endnote w:type="continuationSeparator" w:id="0">
    <w:p w:rsidR="007C0B4E" w:rsidRDefault="007C0B4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4E" w:rsidRDefault="007C0B4E" w:rsidP="006256DA">
      <w:pPr>
        <w:spacing w:after="0" w:line="240" w:lineRule="auto"/>
      </w:pPr>
      <w:r>
        <w:separator/>
      </w:r>
    </w:p>
  </w:footnote>
  <w:footnote w:type="continuationSeparator" w:id="0">
    <w:p w:rsidR="007C0B4E" w:rsidRDefault="007C0B4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1999"/>
    <w:rsid w:val="0009488D"/>
    <w:rsid w:val="000951DE"/>
    <w:rsid w:val="000A22D2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A489E"/>
    <w:rsid w:val="00367194"/>
    <w:rsid w:val="00372930"/>
    <w:rsid w:val="00393539"/>
    <w:rsid w:val="003A716B"/>
    <w:rsid w:val="003D3138"/>
    <w:rsid w:val="0043470C"/>
    <w:rsid w:val="0044675E"/>
    <w:rsid w:val="0045028E"/>
    <w:rsid w:val="0048612D"/>
    <w:rsid w:val="004A70C2"/>
    <w:rsid w:val="004B1FD0"/>
    <w:rsid w:val="004D5A5A"/>
    <w:rsid w:val="004F6093"/>
    <w:rsid w:val="00503E1A"/>
    <w:rsid w:val="0058026E"/>
    <w:rsid w:val="0059437B"/>
    <w:rsid w:val="005A7A97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70D1F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C3B56"/>
    <w:rsid w:val="00EE58D8"/>
    <w:rsid w:val="00EF5738"/>
    <w:rsid w:val="00EF708F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6</cp:revision>
  <cp:lastPrinted>2018-10-11T07:23:00Z</cp:lastPrinted>
  <dcterms:created xsi:type="dcterms:W3CDTF">2018-11-20T10:06:00Z</dcterms:created>
  <dcterms:modified xsi:type="dcterms:W3CDTF">2018-11-20T10:15:00Z</dcterms:modified>
</cp:coreProperties>
</file>